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6" w:rsidRDefault="00180506" w:rsidP="00180506">
      <w:pPr>
        <w:pStyle w:val="Default"/>
      </w:pPr>
    </w:p>
    <w:p w:rsidR="000109FD" w:rsidRDefault="00180506" w:rsidP="00B85986">
      <w:pPr>
        <w:pStyle w:val="Default"/>
        <w:jc w:val="center"/>
        <w:rPr>
          <w:b/>
          <w:bCs/>
          <w:color w:val="17365D" w:themeColor="text2" w:themeShade="BF"/>
          <w:sz w:val="23"/>
          <w:szCs w:val="23"/>
        </w:rPr>
      </w:pPr>
      <w:r w:rsidRPr="00806EE6">
        <w:rPr>
          <w:b/>
          <w:bCs/>
          <w:color w:val="17365D" w:themeColor="text2" w:themeShade="BF"/>
          <w:sz w:val="23"/>
          <w:szCs w:val="23"/>
        </w:rPr>
        <w:t>CONVOCADAS las ayudas LEADER para la realización de operaciones conforme a la EDLP para Gúdar-Javalambre y Maestrazgo</w:t>
      </w:r>
      <w:r w:rsidR="000109FD">
        <w:rPr>
          <w:b/>
          <w:bCs/>
          <w:color w:val="17365D" w:themeColor="text2" w:themeShade="BF"/>
          <w:sz w:val="23"/>
          <w:szCs w:val="23"/>
        </w:rPr>
        <w:t xml:space="preserve"> </w:t>
      </w:r>
    </w:p>
    <w:p w:rsidR="00C839B7" w:rsidRDefault="00B85986" w:rsidP="000109FD">
      <w:pPr>
        <w:pStyle w:val="Default"/>
        <w:jc w:val="center"/>
        <w:rPr>
          <w:b/>
          <w:bCs/>
          <w:color w:val="17365D" w:themeColor="text2" w:themeShade="BF"/>
          <w:sz w:val="23"/>
          <w:szCs w:val="23"/>
        </w:rPr>
      </w:pPr>
      <w:proofErr w:type="gramStart"/>
      <w:r>
        <w:rPr>
          <w:b/>
          <w:bCs/>
          <w:color w:val="17365D" w:themeColor="text2" w:themeShade="BF"/>
          <w:sz w:val="23"/>
          <w:szCs w:val="23"/>
        </w:rPr>
        <w:t>proyectos</w:t>
      </w:r>
      <w:proofErr w:type="gramEnd"/>
      <w:r>
        <w:rPr>
          <w:b/>
          <w:bCs/>
          <w:color w:val="17365D" w:themeColor="text2" w:themeShade="BF"/>
          <w:sz w:val="23"/>
          <w:szCs w:val="23"/>
        </w:rPr>
        <w:t xml:space="preserve"> </w:t>
      </w:r>
      <w:r w:rsidR="000109FD">
        <w:rPr>
          <w:b/>
          <w:bCs/>
          <w:color w:val="17365D" w:themeColor="text2" w:themeShade="BF"/>
          <w:sz w:val="23"/>
          <w:szCs w:val="23"/>
        </w:rPr>
        <w:t xml:space="preserve">no </w:t>
      </w:r>
      <w:r>
        <w:rPr>
          <w:b/>
          <w:bCs/>
          <w:color w:val="17365D" w:themeColor="text2" w:themeShade="BF"/>
          <w:sz w:val="23"/>
          <w:szCs w:val="23"/>
        </w:rPr>
        <w:t>productivos</w:t>
      </w:r>
    </w:p>
    <w:p w:rsidR="000109FD" w:rsidRPr="000109FD" w:rsidRDefault="000109FD" w:rsidP="000109FD">
      <w:pPr>
        <w:spacing w:line="0" w:lineRule="atLeast"/>
        <w:ind w:left="7"/>
        <w:jc w:val="center"/>
        <w:rPr>
          <w:rFonts w:ascii="Bookman Old Style" w:eastAsia="Bookman Old Style" w:hAnsi="Bookman Old Style"/>
          <w:i/>
          <w:sz w:val="22"/>
        </w:rPr>
      </w:pPr>
      <w:r>
        <w:rPr>
          <w:rFonts w:ascii="Bookman Old Style" w:eastAsia="Bookman Old Style" w:hAnsi="Bookman Old Style"/>
          <w:i/>
          <w:sz w:val="22"/>
        </w:rPr>
        <w:t xml:space="preserve">ORDEN DRS/1482/2016 de 18 de octubre y ORDEN DRS/1592/2016 de 31 de octubre. </w:t>
      </w:r>
    </w:p>
    <w:p w:rsidR="00180506" w:rsidRPr="00806EE6" w:rsidRDefault="00180506" w:rsidP="00180506">
      <w:pPr>
        <w:pStyle w:val="Default"/>
        <w:rPr>
          <w:color w:val="244061" w:themeColor="accent1" w:themeShade="80"/>
          <w:sz w:val="22"/>
          <w:szCs w:val="22"/>
        </w:rPr>
      </w:pPr>
      <w:r w:rsidRPr="00806EE6">
        <w:rPr>
          <w:b/>
          <w:bCs/>
          <w:color w:val="244061" w:themeColor="accent1" w:themeShade="80"/>
          <w:sz w:val="22"/>
          <w:szCs w:val="22"/>
        </w:rPr>
        <w:t xml:space="preserve">OBJETO </w:t>
      </w:r>
    </w:p>
    <w:p w:rsidR="00180506" w:rsidRDefault="00180506" w:rsidP="004151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ayudas incluyen actuaciones dirigidas a fomentar la creación de empleo, la diversificación económica y la mejora de la calidad de vida en el medio rural. </w:t>
      </w:r>
    </w:p>
    <w:p w:rsidR="00180506" w:rsidRPr="00806EE6" w:rsidRDefault="00D13B90" w:rsidP="00180506">
      <w:pPr>
        <w:pStyle w:val="Default"/>
        <w:rPr>
          <w:color w:val="17365D" w:themeColor="text2" w:themeShade="BF"/>
          <w:sz w:val="22"/>
          <w:szCs w:val="22"/>
        </w:rPr>
      </w:pPr>
      <w:r w:rsidRPr="00D13B90">
        <w:rPr>
          <w:b/>
          <w:bCs/>
          <w:noProof/>
          <w:color w:val="17365D" w:themeColor="text2" w:themeShade="BF"/>
          <w:sz w:val="22"/>
          <w:szCs w:val="22"/>
          <w:lang w:eastAsia="es-ES"/>
        </w:rPr>
        <w:pict>
          <v:roundrect id="_x0000_s1027" style="position:absolute;margin-left:-15.1pt;margin-top:12.4pt;width:482.3pt;height:192.15pt;z-index:-251658752" arcsize="10923f" fillcolor="#d6e3bc [1302]"/>
        </w:pict>
      </w:r>
      <w:r w:rsidR="00180506" w:rsidRPr="00806EE6">
        <w:rPr>
          <w:b/>
          <w:bCs/>
          <w:color w:val="17365D" w:themeColor="text2" w:themeShade="BF"/>
          <w:sz w:val="22"/>
          <w:szCs w:val="22"/>
        </w:rPr>
        <w:t xml:space="preserve">ACTIVIDADES SUBVENCIONABLES: </w:t>
      </w:r>
    </w:p>
    <w:p w:rsidR="000109FD" w:rsidRDefault="000109FD" w:rsidP="000109FD">
      <w:pPr>
        <w:spacing w:line="0" w:lineRule="atLeast"/>
        <w:ind w:left="7"/>
        <w:rPr>
          <w:rFonts w:ascii="Bookman Old Style" w:eastAsia="Bookman Old Style" w:hAnsi="Bookman Old Style"/>
          <w:b/>
          <w:color w:val="913533"/>
          <w:sz w:val="22"/>
        </w:rPr>
      </w:pPr>
      <w:r>
        <w:rPr>
          <w:rFonts w:ascii="Bookman Old Style" w:eastAsia="Bookman Old Style" w:hAnsi="Bookman Old Style"/>
          <w:b/>
          <w:color w:val="913533"/>
          <w:sz w:val="22"/>
        </w:rPr>
        <w:t>ACTIVIDADES SUBVENCIONABLES:</w:t>
      </w:r>
    </w:p>
    <w:p w:rsidR="000109FD" w:rsidRDefault="000109FD" w:rsidP="000109F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109FD" w:rsidRDefault="000109FD" w:rsidP="000109FD">
      <w:pPr>
        <w:numPr>
          <w:ilvl w:val="0"/>
          <w:numId w:val="1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Mejora de la accesibilidad a las tecnologías de la información y la comunicación (TIC) así como su uso en las zonas rurales, para entidades públicas y sin ánimo de lucro.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Eficiencia energética en entidades públicas locales y sin ánimo de lucro.</w:t>
      </w:r>
    </w:p>
    <w:p w:rsidR="000109FD" w:rsidRDefault="000109FD" w:rsidP="000109FD">
      <w:pPr>
        <w:numPr>
          <w:ilvl w:val="0"/>
          <w:numId w:val="1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Inversiones y acciones de formación y divulgación en relación con la conservación y protección del medio ambiente.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Inversiones y acciones de formación y divulgación en materia de cambio climático.</w:t>
      </w:r>
    </w:p>
    <w:p w:rsidR="000109FD" w:rsidRDefault="000109FD" w:rsidP="000109FD">
      <w:pPr>
        <w:numPr>
          <w:ilvl w:val="0"/>
          <w:numId w:val="1"/>
        </w:numPr>
        <w:tabs>
          <w:tab w:val="left" w:pos="287"/>
        </w:tabs>
        <w:spacing w:line="238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Inversiones materiales para la creación de empleo.</w:t>
      </w:r>
    </w:p>
    <w:p w:rsidR="000109FD" w:rsidRDefault="000109FD" w:rsidP="000109FD">
      <w:pPr>
        <w:numPr>
          <w:ilvl w:val="0"/>
          <w:numId w:val="1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Acciones formativas en materia de empleo, espíritu emprendedor, creación de empresas y adaptación de los trabajadores, las empresas y los empresarios al cambio.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Infraestructura social.</w:t>
      </w:r>
    </w:p>
    <w:p w:rsidR="00180506" w:rsidRDefault="00180506" w:rsidP="00180506">
      <w:pPr>
        <w:pStyle w:val="Default"/>
        <w:rPr>
          <w:sz w:val="22"/>
          <w:szCs w:val="22"/>
        </w:rPr>
      </w:pPr>
    </w:p>
    <w:p w:rsidR="00180506" w:rsidRPr="00806EE6" w:rsidRDefault="00180506" w:rsidP="00180506">
      <w:pPr>
        <w:pStyle w:val="Default"/>
        <w:rPr>
          <w:color w:val="17365D" w:themeColor="text2" w:themeShade="BF"/>
          <w:sz w:val="22"/>
          <w:szCs w:val="22"/>
        </w:rPr>
      </w:pPr>
      <w:r w:rsidRPr="00806EE6">
        <w:rPr>
          <w:b/>
          <w:bCs/>
          <w:color w:val="17365D" w:themeColor="text2" w:themeShade="BF"/>
          <w:sz w:val="22"/>
          <w:szCs w:val="22"/>
        </w:rPr>
        <w:t xml:space="preserve">ACTIVIDADES NO SUBVENCIONABLES: </w:t>
      </w:r>
    </w:p>
    <w:p w:rsidR="000109FD" w:rsidRDefault="000109FD" w:rsidP="000109FD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Las inversiones directamente relacionadas con la producción agrícola y ganadera.</w:t>
      </w:r>
    </w:p>
    <w:p w:rsidR="000109FD" w:rsidRDefault="000109FD" w:rsidP="000109FD">
      <w:pPr>
        <w:numPr>
          <w:ilvl w:val="0"/>
          <w:numId w:val="2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La inversión en apartamentos turísticos, viviendas de uso turístico y viviendas de turismo rural.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La instalación de energías renovables limpias a excepción del autoconsumo.</w:t>
      </w:r>
    </w:p>
    <w:p w:rsidR="00180506" w:rsidRPr="00806EE6" w:rsidRDefault="00180506" w:rsidP="004151E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806EE6">
        <w:rPr>
          <w:b/>
          <w:bCs/>
          <w:color w:val="17365D" w:themeColor="text2" w:themeShade="BF"/>
          <w:sz w:val="22"/>
          <w:szCs w:val="22"/>
        </w:rPr>
        <w:t xml:space="preserve">GASTOS SUBVENCIONABLES: </w:t>
      </w:r>
    </w:p>
    <w:p w:rsidR="000109FD" w:rsidRDefault="000109FD" w:rsidP="000109FD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La construcción, adquisición o mejora de un inmueble.</w:t>
      </w:r>
    </w:p>
    <w:p w:rsidR="000109FD" w:rsidRDefault="000109FD" w:rsidP="000109FD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Nueva maquinaria y equipos.</w:t>
      </w:r>
    </w:p>
    <w:p w:rsidR="000109FD" w:rsidRDefault="000109FD" w:rsidP="000109FD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Los costes generales como honorarios de arquitectos, ingenieros y asesores, o los relativos al asesoramiento sobre la sostenibilidad económica y medioambiental, incluidos los estudios de viabilidad.</w:t>
      </w:r>
    </w:p>
    <w:p w:rsidR="000109FD" w:rsidRDefault="000109FD" w:rsidP="000109FD">
      <w:pPr>
        <w:numPr>
          <w:ilvl w:val="0"/>
          <w:numId w:val="3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La adquisición o desarrollo de programas informáticos y adquisiciones de patentes, licencias, derechos de autor y marcas registradas.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Actividades de formación y demostración.</w:t>
      </w:r>
    </w:p>
    <w:p w:rsidR="000109FD" w:rsidRDefault="000109FD" w:rsidP="000109FD">
      <w:pPr>
        <w:tabs>
          <w:tab w:val="left" w:pos="287"/>
        </w:tabs>
        <w:spacing w:line="0" w:lineRule="atLeast"/>
        <w:jc w:val="both"/>
        <w:rPr>
          <w:rFonts w:ascii="Bookman Old Style" w:eastAsia="Bookman Old Style" w:hAnsi="Bookman Old Style"/>
          <w:sz w:val="22"/>
        </w:rPr>
      </w:pPr>
    </w:p>
    <w:p w:rsidR="00180506" w:rsidRPr="009C2D7D" w:rsidRDefault="00180506" w:rsidP="004151E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9C2D7D">
        <w:rPr>
          <w:b/>
          <w:bCs/>
          <w:color w:val="17365D" w:themeColor="text2" w:themeShade="BF"/>
          <w:sz w:val="22"/>
          <w:szCs w:val="22"/>
        </w:rPr>
        <w:t xml:space="preserve">GASTOS NO SUBVENCIONABLES: </w:t>
      </w:r>
    </w:p>
    <w:p w:rsidR="000109FD" w:rsidRDefault="000109FD" w:rsidP="000109FD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b/>
          <w:sz w:val="22"/>
        </w:rPr>
      </w:pPr>
      <w:r>
        <w:rPr>
          <w:rFonts w:ascii="Bookman Old Style" w:eastAsia="Bookman Old Style" w:hAnsi="Bookman Old Style"/>
          <w:b/>
          <w:sz w:val="22"/>
        </w:rPr>
        <w:t>Los realizados antes de la fecha de presentación de la solicitud de ayuda.</w:t>
      </w:r>
    </w:p>
    <w:p w:rsidR="000109FD" w:rsidRDefault="000109FD" w:rsidP="000109FD">
      <w:pPr>
        <w:spacing w:line="14" w:lineRule="exact"/>
        <w:rPr>
          <w:rFonts w:ascii="Bookman Old Style" w:eastAsia="Bookman Old Style" w:hAnsi="Bookman Old Style"/>
          <w:b/>
          <w:sz w:val="22"/>
        </w:rPr>
      </w:pPr>
    </w:p>
    <w:p w:rsidR="000109FD" w:rsidRDefault="000109FD" w:rsidP="000109FD">
      <w:pPr>
        <w:numPr>
          <w:ilvl w:val="0"/>
          <w:numId w:val="4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Los proyectos fragmentados o en fases que no puedan funcionar de manera independiente.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El IVA recuperable, y cualquier impuesto, gravamen, tasa, interés, recargo, sanción, gasto de procedimientos judiciales, o gasto de naturaleza similar.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4"/>
        </w:numPr>
        <w:tabs>
          <w:tab w:val="left" w:pos="287"/>
        </w:tabs>
        <w:spacing w:line="238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Los equipos y bienes muebles de segunda mano o de simple reposición.</w:t>
      </w:r>
    </w:p>
    <w:p w:rsidR="000109FD" w:rsidRDefault="000109FD" w:rsidP="000109FD">
      <w:pPr>
        <w:numPr>
          <w:ilvl w:val="0"/>
          <w:numId w:val="4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Los gastos corrientes y mantenimiento de bienes muebles e inmuebles, así como sus reparaciones.</w:t>
      </w:r>
    </w:p>
    <w:p w:rsidR="000109FD" w:rsidRDefault="000109FD" w:rsidP="000109FD">
      <w:pPr>
        <w:spacing w:line="1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4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La organización o asistencia a ferias y congresos.</w:t>
      </w:r>
    </w:p>
    <w:p w:rsidR="000109FD" w:rsidRDefault="000109FD" w:rsidP="000109FD">
      <w:pPr>
        <w:numPr>
          <w:ilvl w:val="0"/>
          <w:numId w:val="4"/>
        </w:numPr>
        <w:tabs>
          <w:tab w:val="left" w:pos="287"/>
        </w:tabs>
        <w:spacing w:line="232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Los alquileres, material fungible y la imputación de mano de obra propia, salvo en formación.</w:t>
      </w:r>
    </w:p>
    <w:p w:rsidR="00180506" w:rsidRPr="001B2A04" w:rsidRDefault="000109FD" w:rsidP="000109FD">
      <w:pPr>
        <w:pStyle w:val="Default"/>
        <w:spacing w:after="21"/>
        <w:jc w:val="both"/>
        <w:rPr>
          <w:sz w:val="22"/>
          <w:szCs w:val="22"/>
        </w:rPr>
      </w:pPr>
      <w:r>
        <w:rPr>
          <w:rFonts w:eastAsia="Bookman Old Style"/>
          <w:b/>
          <w:sz w:val="22"/>
        </w:rPr>
        <w:lastRenderedPageBreak/>
        <w:t xml:space="preserve">Los gastos con una inversión mínima elegible inferior a 5.000 euros, </w:t>
      </w:r>
      <w:r>
        <w:rPr>
          <w:rFonts w:eastAsia="Bookman Old Style"/>
          <w:sz w:val="22"/>
        </w:rPr>
        <w:t xml:space="preserve">salvo en actividades de </w:t>
      </w:r>
      <w:r>
        <w:rPr>
          <w:rFonts w:eastAsia="Bookman Old Style"/>
          <w:b/>
          <w:sz w:val="22"/>
        </w:rPr>
        <w:t xml:space="preserve"> </w:t>
      </w:r>
      <w:r>
        <w:rPr>
          <w:rFonts w:eastAsia="Bookman Old Style"/>
          <w:sz w:val="22"/>
        </w:rPr>
        <w:t>formación y demostración.</w:t>
      </w:r>
    </w:p>
    <w:p w:rsidR="00180506" w:rsidRPr="009C2D7D" w:rsidRDefault="00180506" w:rsidP="004151ED">
      <w:pPr>
        <w:pStyle w:val="Default"/>
        <w:jc w:val="both"/>
        <w:rPr>
          <w:b/>
          <w:color w:val="17365D" w:themeColor="text2" w:themeShade="BF"/>
          <w:sz w:val="22"/>
          <w:szCs w:val="22"/>
        </w:rPr>
      </w:pPr>
      <w:r w:rsidRPr="009C2D7D">
        <w:rPr>
          <w:b/>
          <w:color w:val="17365D" w:themeColor="text2" w:themeShade="BF"/>
          <w:sz w:val="22"/>
          <w:szCs w:val="22"/>
        </w:rPr>
        <w:t>LIMITACIONES:</w:t>
      </w: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239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Límites del presupuesto de ejecución material realmente ejecutado: 5% para la redacción del proyecto, 5% para la dirección de obra y 1% para la coordinación de seguridad y salud; del 19% para los gastos generales y el beneficio industrial en la ejecución de proyectos de obra civil.</w:t>
      </w:r>
    </w:p>
    <w:p w:rsidR="000109FD" w:rsidRDefault="000109FD" w:rsidP="000109FD">
      <w:pPr>
        <w:spacing w:line="3" w:lineRule="exact"/>
        <w:rPr>
          <w:rFonts w:ascii="Bookman Old Style" w:eastAsia="Bookman Old Style" w:hAnsi="Bookman Old Style"/>
          <w:sz w:val="22"/>
        </w:rPr>
      </w:pP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Estudios de viabilidad económica: un máximo del 5% del resto de la inversión elegible.</w:t>
      </w: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238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Adquisición de terrenos: hasta un 10% del resto de los gastos elegibles de la inversión.</w:t>
      </w: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Adquisición de edificios: hasta el 50% del resto de la inversión.</w:t>
      </w: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238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Compra de vehículos: con un límite de 20.000 €, excepto en proyectos de interés social.</w:t>
      </w: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Los gastos de promoción y publicidad sólo serán elegibles para nuevas actividades.</w:t>
      </w: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Previamente a realizar la inversión, mínimo tres ofertas de diferentes proveedores cuando el gasto subvencionable supere los 6.000 euros en suministro de bienes de equipo o prestación de servicios, o de 30.000 euros en el caso de ejecución de obras.</w:t>
      </w:r>
    </w:p>
    <w:p w:rsidR="000109FD" w:rsidRDefault="000109FD" w:rsidP="000109FD">
      <w:pPr>
        <w:numPr>
          <w:ilvl w:val="0"/>
          <w:numId w:val="5"/>
        </w:numPr>
        <w:tabs>
          <w:tab w:val="left" w:pos="287"/>
        </w:tabs>
        <w:spacing w:line="267" w:lineRule="auto"/>
        <w:ind w:left="287" w:hanging="287"/>
        <w:jc w:val="both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En formación se respetarán los límites máximos establecidos en la Orden AAA/746/2016, de 4 de mayo. El límite de gasto por hora lectiva se establece en 80 €.</w:t>
      </w:r>
    </w:p>
    <w:p w:rsidR="00180506" w:rsidRPr="009C2D7D" w:rsidRDefault="00180506" w:rsidP="004151E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9C2D7D">
        <w:rPr>
          <w:b/>
          <w:bCs/>
          <w:color w:val="17365D" w:themeColor="text2" w:themeShade="BF"/>
          <w:sz w:val="22"/>
          <w:szCs w:val="22"/>
        </w:rPr>
        <w:t xml:space="preserve">BENEFICIARIOS: </w:t>
      </w:r>
    </w:p>
    <w:p w:rsidR="000109FD" w:rsidRDefault="000109FD" w:rsidP="000109FD">
      <w:pPr>
        <w:spacing w:line="0" w:lineRule="atLeast"/>
        <w:ind w:left="7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Entidades públicas locales y entidades sin ánimo de lucro.</w:t>
      </w:r>
    </w:p>
    <w:p w:rsidR="000109FD" w:rsidRDefault="000109FD" w:rsidP="000109FD">
      <w:pPr>
        <w:spacing w:line="1" w:lineRule="exact"/>
        <w:rPr>
          <w:rFonts w:ascii="Times New Roman" w:eastAsia="Times New Roman" w:hAnsi="Times New Roman"/>
        </w:rPr>
      </w:pPr>
    </w:p>
    <w:p w:rsidR="000109FD" w:rsidRDefault="000109FD" w:rsidP="000109FD">
      <w:pPr>
        <w:spacing w:line="239" w:lineRule="auto"/>
        <w:ind w:left="7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Las entidades locales deberán estar al día con la Cámara de Cuentas de Aragón y elaborar un plan de racionalización del gasto corriente.</w:t>
      </w:r>
    </w:p>
    <w:p w:rsidR="000109FD" w:rsidRDefault="000109FD" w:rsidP="000109FD">
      <w:pPr>
        <w:spacing w:line="2" w:lineRule="exact"/>
        <w:rPr>
          <w:rFonts w:ascii="Times New Roman" w:eastAsia="Times New Roman" w:hAnsi="Times New Roman"/>
        </w:rPr>
      </w:pPr>
    </w:p>
    <w:p w:rsidR="000109FD" w:rsidRDefault="000109FD" w:rsidP="000109FD">
      <w:pPr>
        <w:spacing w:line="269" w:lineRule="auto"/>
        <w:ind w:left="7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En actividades formativas, deberán ser entidades, empresas o personas físicas que, desempeñando alguna actividad en el ámbito de la EDLL, sean receptoras de la formación.</w:t>
      </w:r>
    </w:p>
    <w:p w:rsidR="00180506" w:rsidRPr="009C2D7D" w:rsidRDefault="00180506" w:rsidP="004151E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9C2D7D">
        <w:rPr>
          <w:b/>
          <w:bCs/>
          <w:color w:val="17365D" w:themeColor="text2" w:themeShade="BF"/>
          <w:sz w:val="22"/>
          <w:szCs w:val="22"/>
        </w:rPr>
        <w:t xml:space="preserve">PLAZO DE PRESENTACIÓN: </w:t>
      </w:r>
    </w:p>
    <w:p w:rsidR="000109FD" w:rsidRDefault="000109FD" w:rsidP="000109FD">
      <w:pPr>
        <w:spacing w:line="239" w:lineRule="auto"/>
        <w:ind w:left="7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 xml:space="preserve">Dos procedimientos de selección, </w:t>
      </w:r>
      <w:r>
        <w:rPr>
          <w:rFonts w:ascii="Bookman Old Style" w:eastAsia="Bookman Old Style" w:hAnsi="Bookman Old Style"/>
          <w:b/>
          <w:sz w:val="22"/>
        </w:rPr>
        <w:t>en concurrencia competitiva</w:t>
      </w:r>
      <w:r>
        <w:rPr>
          <w:rFonts w:ascii="Bookman Old Style" w:eastAsia="Bookman Old Style" w:hAnsi="Bookman Old Style"/>
          <w:sz w:val="22"/>
        </w:rPr>
        <w:t>, con los siguientes plazos:</w:t>
      </w:r>
    </w:p>
    <w:p w:rsidR="000109FD" w:rsidRDefault="000109FD" w:rsidP="000109FD">
      <w:pPr>
        <w:spacing w:line="2" w:lineRule="exact"/>
        <w:rPr>
          <w:rFonts w:ascii="Times New Roman" w:eastAsia="Times New Roman" w:hAnsi="Times New Roman"/>
        </w:rPr>
      </w:pPr>
    </w:p>
    <w:p w:rsidR="000109FD" w:rsidRDefault="000109FD" w:rsidP="000109FD">
      <w:pPr>
        <w:spacing w:line="0" w:lineRule="atLeast"/>
        <w:ind w:left="367"/>
        <w:rPr>
          <w:rFonts w:ascii="Bookman Old Style" w:eastAsia="Bookman Old Style" w:hAnsi="Bookman Old Style"/>
          <w:b/>
          <w:sz w:val="22"/>
        </w:rPr>
      </w:pPr>
      <w:r>
        <w:rPr>
          <w:rFonts w:ascii="Bookman Old Style" w:eastAsia="Bookman Old Style" w:hAnsi="Bookman Old Style"/>
          <w:sz w:val="22"/>
        </w:rPr>
        <w:t xml:space="preserve">1º: desde el día siguiente al de la publicación de la orden en el BOA hasta el día </w:t>
      </w:r>
      <w:r>
        <w:rPr>
          <w:rFonts w:ascii="Bookman Old Style" w:eastAsia="Bookman Old Style" w:hAnsi="Bookman Old Style"/>
          <w:b/>
          <w:sz w:val="22"/>
        </w:rPr>
        <w:t>28 de</w:t>
      </w:r>
      <w:r>
        <w:rPr>
          <w:rFonts w:ascii="Bookman Old Style" w:eastAsia="Bookman Old Style" w:hAnsi="Bookman Old Style"/>
          <w:sz w:val="22"/>
        </w:rPr>
        <w:t xml:space="preserve"> </w:t>
      </w:r>
      <w:r>
        <w:rPr>
          <w:rFonts w:ascii="Bookman Old Style" w:eastAsia="Bookman Old Style" w:hAnsi="Bookman Old Style"/>
          <w:b/>
          <w:sz w:val="22"/>
        </w:rPr>
        <w:t>febrero de 2017.</w:t>
      </w:r>
    </w:p>
    <w:p w:rsidR="000109FD" w:rsidRDefault="000109FD" w:rsidP="000109FD">
      <w:pPr>
        <w:spacing w:line="2" w:lineRule="exact"/>
        <w:rPr>
          <w:rFonts w:ascii="Times New Roman" w:eastAsia="Times New Roman" w:hAnsi="Times New Roman"/>
        </w:rPr>
      </w:pPr>
    </w:p>
    <w:p w:rsidR="000109FD" w:rsidRDefault="000109FD" w:rsidP="000109FD">
      <w:pPr>
        <w:spacing w:line="0" w:lineRule="atLeast"/>
        <w:ind w:left="367"/>
        <w:rPr>
          <w:rFonts w:ascii="Bookman Old Style" w:eastAsia="Bookman Old Style" w:hAnsi="Bookman Old Style"/>
          <w:b/>
          <w:sz w:val="22"/>
        </w:rPr>
      </w:pPr>
      <w:r>
        <w:rPr>
          <w:rFonts w:ascii="Bookman Old Style" w:eastAsia="Bookman Old Style" w:hAnsi="Bookman Old Style"/>
          <w:sz w:val="22"/>
        </w:rPr>
        <w:t xml:space="preserve">2º: desde el día 1 de marzo de 2017 hasta el </w:t>
      </w:r>
      <w:r>
        <w:rPr>
          <w:rFonts w:ascii="Bookman Old Style" w:eastAsia="Bookman Old Style" w:hAnsi="Bookman Old Style"/>
          <w:b/>
          <w:sz w:val="22"/>
        </w:rPr>
        <w:t>30 de septiembre de 2017.</w:t>
      </w:r>
    </w:p>
    <w:p w:rsidR="00180506" w:rsidRDefault="00180506" w:rsidP="004151ED">
      <w:pPr>
        <w:pStyle w:val="Default"/>
        <w:jc w:val="both"/>
        <w:rPr>
          <w:sz w:val="22"/>
          <w:szCs w:val="22"/>
        </w:rPr>
      </w:pPr>
      <w:r w:rsidRPr="009C2D7D">
        <w:rPr>
          <w:b/>
          <w:bCs/>
          <w:color w:val="17365D" w:themeColor="text2" w:themeShade="BF"/>
          <w:sz w:val="22"/>
          <w:szCs w:val="22"/>
        </w:rPr>
        <w:t>PLAZO DE EJECUCIÓN DE LOS PROYECTOS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12 meses, prorrogables por 6 meses. </w:t>
      </w:r>
    </w:p>
    <w:p w:rsidR="00180506" w:rsidRDefault="00180506" w:rsidP="004151ED">
      <w:pPr>
        <w:pStyle w:val="Default"/>
        <w:jc w:val="both"/>
        <w:rPr>
          <w:sz w:val="22"/>
          <w:szCs w:val="22"/>
        </w:rPr>
      </w:pPr>
      <w:r w:rsidRPr="009C2D7D">
        <w:rPr>
          <w:b/>
          <w:bCs/>
          <w:color w:val="17365D" w:themeColor="text2" w:themeShade="BF"/>
          <w:sz w:val="22"/>
          <w:szCs w:val="22"/>
        </w:rPr>
        <w:t>CUANTÍA DE LAS AYUDAS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(que son de </w:t>
      </w:r>
      <w:proofErr w:type="spellStart"/>
      <w:r>
        <w:rPr>
          <w:sz w:val="22"/>
          <w:szCs w:val="22"/>
        </w:rPr>
        <w:t>mínimis</w:t>
      </w:r>
      <w:proofErr w:type="spellEnd"/>
      <w:r>
        <w:rPr>
          <w:sz w:val="22"/>
          <w:szCs w:val="22"/>
        </w:rPr>
        <w:t xml:space="preserve">): </w:t>
      </w:r>
    </w:p>
    <w:p w:rsidR="00180506" w:rsidRDefault="00180506" w:rsidP="004151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Según los criterios de selección establecidos, </w:t>
      </w:r>
      <w:r>
        <w:rPr>
          <w:b/>
          <w:bCs/>
          <w:sz w:val="22"/>
          <w:szCs w:val="22"/>
        </w:rPr>
        <w:t xml:space="preserve">entre el </w:t>
      </w:r>
      <w:r w:rsidR="0049065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% y el </w:t>
      </w:r>
      <w:r w:rsidR="0049065A">
        <w:rPr>
          <w:b/>
          <w:bCs/>
          <w:sz w:val="22"/>
          <w:szCs w:val="22"/>
        </w:rPr>
        <w:t>80</w:t>
      </w:r>
      <w:r>
        <w:rPr>
          <w:b/>
          <w:bCs/>
          <w:sz w:val="22"/>
          <w:szCs w:val="22"/>
        </w:rPr>
        <w:t xml:space="preserve">% </w:t>
      </w:r>
      <w:r>
        <w:rPr>
          <w:sz w:val="22"/>
          <w:szCs w:val="22"/>
        </w:rPr>
        <w:t xml:space="preserve">del gasto elegible justificado. </w:t>
      </w:r>
    </w:p>
    <w:p w:rsidR="00180506" w:rsidRPr="009C2D7D" w:rsidRDefault="00180506" w:rsidP="004151E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9C2D7D">
        <w:rPr>
          <w:b/>
          <w:bCs/>
          <w:color w:val="17365D" w:themeColor="text2" w:themeShade="BF"/>
          <w:sz w:val="22"/>
          <w:szCs w:val="22"/>
        </w:rPr>
        <w:t xml:space="preserve">OBLIGACIONES DEL BENEFICIARIO: </w:t>
      </w:r>
    </w:p>
    <w:p w:rsidR="001B2A04" w:rsidRPr="001B2A04" w:rsidRDefault="00180506" w:rsidP="004151E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Mantener la actividad e inversión subvencionada durante un periodo mínimo de cinco años desde la fecha del pago final de la ayuda y el empleo durante tres años. </w:t>
      </w:r>
    </w:p>
    <w:p w:rsidR="00180506" w:rsidRPr="009C2D7D" w:rsidRDefault="00180506" w:rsidP="004151ED">
      <w:pPr>
        <w:pStyle w:val="Default"/>
        <w:jc w:val="both"/>
        <w:rPr>
          <w:color w:val="17365D" w:themeColor="text2" w:themeShade="BF"/>
          <w:sz w:val="22"/>
          <w:szCs w:val="22"/>
        </w:rPr>
      </w:pPr>
      <w:r w:rsidRPr="009C2D7D">
        <w:rPr>
          <w:b/>
          <w:bCs/>
          <w:color w:val="17365D" w:themeColor="text2" w:themeShade="BF"/>
          <w:sz w:val="22"/>
          <w:szCs w:val="22"/>
        </w:rPr>
        <w:t xml:space="preserve">OTROS DATOS DE INTERÉS: </w:t>
      </w:r>
    </w:p>
    <w:p w:rsidR="0049065A" w:rsidRDefault="0049065A" w:rsidP="0049065A">
      <w:pPr>
        <w:spacing w:line="0" w:lineRule="atLeast"/>
        <w:ind w:left="7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Estas ayudas no podrán ser cofinanciadas con otros fondos europeos.</w:t>
      </w:r>
    </w:p>
    <w:p w:rsidR="0049065A" w:rsidRDefault="0049065A" w:rsidP="0049065A">
      <w:pPr>
        <w:spacing w:line="39" w:lineRule="exact"/>
        <w:rPr>
          <w:rFonts w:ascii="Times New Roman" w:eastAsia="Times New Roman" w:hAnsi="Times New Roman"/>
        </w:rPr>
      </w:pPr>
    </w:p>
    <w:p w:rsidR="0049065A" w:rsidRDefault="0049065A" w:rsidP="0049065A">
      <w:pPr>
        <w:spacing w:line="275" w:lineRule="auto"/>
        <w:ind w:left="7"/>
        <w:rPr>
          <w:rFonts w:ascii="Bookman Old Style" w:eastAsia="Bookman Old Style" w:hAnsi="Bookman Old Style"/>
          <w:sz w:val="22"/>
        </w:rPr>
      </w:pPr>
      <w:r>
        <w:rPr>
          <w:rFonts w:ascii="Bookman Old Style" w:eastAsia="Bookman Old Style" w:hAnsi="Bookman Old Style"/>
          <w:sz w:val="22"/>
        </w:rPr>
        <w:t>En concurrencia con otras ayudas de otras administraciones públicas, no se podrá superar el 80% del coste de las actuaciones.</w:t>
      </w:r>
    </w:p>
    <w:p w:rsidR="0049065A" w:rsidRDefault="0049065A" w:rsidP="0049065A">
      <w:pPr>
        <w:spacing w:line="1" w:lineRule="exact"/>
        <w:rPr>
          <w:rFonts w:ascii="Times New Roman" w:eastAsia="Times New Roman" w:hAnsi="Times New Roman"/>
        </w:rPr>
      </w:pPr>
    </w:p>
    <w:p w:rsidR="00180506" w:rsidRPr="00C839B7" w:rsidRDefault="00180506" w:rsidP="004151ED">
      <w:pPr>
        <w:pStyle w:val="Default"/>
        <w:jc w:val="both"/>
        <w:rPr>
          <w:b/>
          <w:sz w:val="18"/>
          <w:szCs w:val="18"/>
        </w:rPr>
      </w:pPr>
      <w:r w:rsidRPr="00C839B7">
        <w:rPr>
          <w:b/>
          <w:sz w:val="18"/>
          <w:szCs w:val="18"/>
        </w:rPr>
        <w:t>Los criterios de elegibilidad, selección e intensidad de l</w:t>
      </w:r>
      <w:r w:rsidR="004151ED" w:rsidRPr="00C839B7">
        <w:rPr>
          <w:b/>
          <w:sz w:val="18"/>
          <w:szCs w:val="18"/>
        </w:rPr>
        <w:t xml:space="preserve">as ayudas están en el anexo </w:t>
      </w:r>
      <w:r w:rsidR="0049065A">
        <w:rPr>
          <w:b/>
          <w:sz w:val="18"/>
          <w:szCs w:val="18"/>
        </w:rPr>
        <w:t xml:space="preserve"> IV</w:t>
      </w:r>
      <w:r w:rsidR="004151ED" w:rsidRPr="00C839B7">
        <w:rPr>
          <w:b/>
          <w:sz w:val="18"/>
          <w:szCs w:val="18"/>
        </w:rPr>
        <w:t xml:space="preserve">. (Pág. </w:t>
      </w:r>
      <w:r w:rsidR="0049065A">
        <w:rPr>
          <w:b/>
          <w:sz w:val="18"/>
          <w:szCs w:val="18"/>
        </w:rPr>
        <w:t xml:space="preserve">32 </w:t>
      </w:r>
      <w:r w:rsidR="004151ED" w:rsidRPr="00C839B7">
        <w:rPr>
          <w:b/>
          <w:sz w:val="18"/>
          <w:szCs w:val="18"/>
        </w:rPr>
        <w:t>en caso de AGUJAMA)</w:t>
      </w:r>
      <w:r w:rsidR="001B2A04" w:rsidRPr="00C839B7">
        <w:rPr>
          <w:b/>
          <w:sz w:val="18"/>
          <w:szCs w:val="18"/>
        </w:rPr>
        <w:t>.</w:t>
      </w:r>
    </w:p>
    <w:sectPr w:rsidR="00180506" w:rsidRPr="00C839B7" w:rsidSect="00C839B7">
      <w:headerReference w:type="default" r:id="rId7"/>
      <w:footerReference w:type="default" r:id="rId8"/>
      <w:pgSz w:w="11906" w:h="16838"/>
      <w:pgMar w:top="35" w:right="1133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FD" w:rsidRDefault="000109FD" w:rsidP="004151ED">
      <w:r>
        <w:separator/>
      </w:r>
    </w:p>
  </w:endnote>
  <w:endnote w:type="continuationSeparator" w:id="1">
    <w:p w:rsidR="000109FD" w:rsidRDefault="000109FD" w:rsidP="0041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FD" w:rsidRPr="00806EE6" w:rsidRDefault="000109FD" w:rsidP="00806EE6">
    <w:pPr>
      <w:pStyle w:val="Piedepgina"/>
      <w:jc w:val="center"/>
      <w:rPr>
        <w:b/>
      </w:rPr>
    </w:pPr>
    <w:r>
      <w:rPr>
        <w:b/>
        <w:noProof/>
      </w:rPr>
      <w:pict>
        <v:roundrect id="_x0000_s2049" style="position:absolute;left:0;text-align:left;margin-left:.55pt;margin-top:2.65pt;width:467.3pt;height:55.6pt;z-index:-251658752" arcsize="19381f" fillcolor="#d6e3bc [1302]" strokecolor="#c2d69b [1942]"/>
      </w:pict>
    </w:r>
    <w:r w:rsidRPr="00806EE6">
      <w:rPr>
        <w:b/>
      </w:rPr>
      <w:t>AGUJAMA</w:t>
    </w:r>
  </w:p>
  <w:p w:rsidR="000109FD" w:rsidRPr="00806EE6" w:rsidRDefault="000109FD" w:rsidP="00806EE6">
    <w:pPr>
      <w:pStyle w:val="Piedepgina"/>
      <w:jc w:val="center"/>
      <w:rPr>
        <w:b/>
      </w:rPr>
    </w:pPr>
    <w:r w:rsidRPr="00806EE6">
      <w:rPr>
        <w:b/>
      </w:rPr>
      <w:t>Pza. La Villa</w:t>
    </w:r>
    <w:proofErr w:type="gramStart"/>
    <w:r w:rsidRPr="00806EE6">
      <w:rPr>
        <w:b/>
      </w:rPr>
      <w:t>,1</w:t>
    </w:r>
    <w:proofErr w:type="gramEnd"/>
    <w:r w:rsidRPr="00806EE6">
      <w:rPr>
        <w:b/>
      </w:rPr>
      <w:t xml:space="preserve"> -44400 Mora de </w:t>
    </w:r>
    <w:proofErr w:type="spellStart"/>
    <w:r w:rsidRPr="00806EE6">
      <w:rPr>
        <w:b/>
      </w:rPr>
      <w:t>Rubielos</w:t>
    </w:r>
    <w:proofErr w:type="spellEnd"/>
    <w:r w:rsidRPr="00806EE6">
      <w:rPr>
        <w:b/>
      </w:rPr>
      <w:t xml:space="preserve"> (Teruel)Tfno:978807126 </w:t>
    </w:r>
    <w:hyperlink r:id="rId1" w:history="1">
      <w:r w:rsidRPr="00806EE6">
        <w:rPr>
          <w:rStyle w:val="Hipervnculo"/>
          <w:b/>
        </w:rPr>
        <w:t>leader@agujama.org</w:t>
      </w:r>
    </w:hyperlink>
  </w:p>
  <w:p w:rsidR="000109FD" w:rsidRPr="00806EE6" w:rsidRDefault="000109FD" w:rsidP="00806EE6">
    <w:pPr>
      <w:pStyle w:val="Piedepgina"/>
      <w:jc w:val="center"/>
      <w:rPr>
        <w:b/>
      </w:rPr>
    </w:pPr>
    <w:r w:rsidRPr="00806EE6">
      <w:rPr>
        <w:b/>
      </w:rPr>
      <w:t>C/</w:t>
    </w:r>
    <w:proofErr w:type="spellStart"/>
    <w:r w:rsidRPr="00806EE6">
      <w:rPr>
        <w:b/>
      </w:rPr>
      <w:t>Pueyo</w:t>
    </w:r>
    <w:proofErr w:type="spellEnd"/>
    <w:r w:rsidRPr="00806EE6">
      <w:rPr>
        <w:b/>
      </w:rPr>
      <w:t xml:space="preserve">, 33-44556 Molinos (Teruel) 978849709 </w:t>
    </w:r>
    <w:hyperlink r:id="rId2" w:history="1">
      <w:r w:rsidRPr="00806EE6">
        <w:rPr>
          <w:rStyle w:val="Hipervnculo"/>
          <w:b/>
        </w:rPr>
        <w:t>cooperacion@agujama.org</w:t>
      </w:r>
    </w:hyperlink>
  </w:p>
  <w:p w:rsidR="000109FD" w:rsidRPr="00806EE6" w:rsidRDefault="000109FD" w:rsidP="00806EE6">
    <w:pPr>
      <w:pStyle w:val="Piedepgina"/>
      <w:jc w:val="center"/>
      <w:rPr>
        <w:b/>
        <w:color w:val="365F91" w:themeColor="accent1" w:themeShade="BF"/>
        <w:sz w:val="28"/>
        <w:szCs w:val="28"/>
      </w:rPr>
    </w:pPr>
    <w:r w:rsidRPr="00806EE6">
      <w:rPr>
        <w:b/>
        <w:color w:val="365F91" w:themeColor="accent1" w:themeShade="BF"/>
        <w:sz w:val="28"/>
        <w:szCs w:val="28"/>
      </w:rPr>
      <w:t>www.agujama.org</w:t>
    </w:r>
  </w:p>
  <w:p w:rsidR="000109FD" w:rsidRDefault="000109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FD" w:rsidRDefault="000109FD" w:rsidP="004151ED">
      <w:r>
        <w:separator/>
      </w:r>
    </w:p>
  </w:footnote>
  <w:footnote w:type="continuationSeparator" w:id="1">
    <w:p w:rsidR="000109FD" w:rsidRDefault="000109FD" w:rsidP="00415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FD" w:rsidRDefault="000109FD">
    <w:pPr>
      <w:pStyle w:val="Encabezado"/>
    </w:pPr>
    <w:r>
      <w:t xml:space="preserve"> </w:t>
    </w:r>
    <w:r>
      <w:rPr>
        <w:noProof/>
      </w:rPr>
      <w:drawing>
        <wp:inline distT="0" distB="0" distL="0" distR="0">
          <wp:extent cx="1461542" cy="879894"/>
          <wp:effectExtent l="19050" t="0" r="5308" b="0"/>
          <wp:docPr id="2" name="1 Imagen" descr="AGUJAMA-logo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JAMA-logo20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716" cy="886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3724814" cy="776378"/>
          <wp:effectExtent l="19050" t="0" r="8986" b="0"/>
          <wp:docPr id="1" name="0 Imagen" descr="Los tres en una t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 tres en una ti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5882" cy="77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1302]" strokecolor="none [194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0506"/>
    <w:rsid w:val="000109FD"/>
    <w:rsid w:val="00180506"/>
    <w:rsid w:val="001B2A04"/>
    <w:rsid w:val="004151ED"/>
    <w:rsid w:val="004545DC"/>
    <w:rsid w:val="00473098"/>
    <w:rsid w:val="0049065A"/>
    <w:rsid w:val="005333C0"/>
    <w:rsid w:val="00806EE6"/>
    <w:rsid w:val="00886F16"/>
    <w:rsid w:val="009C2D7D"/>
    <w:rsid w:val="00A05826"/>
    <w:rsid w:val="00A522A7"/>
    <w:rsid w:val="00A91B31"/>
    <w:rsid w:val="00A94089"/>
    <w:rsid w:val="00B85986"/>
    <w:rsid w:val="00BA4CB6"/>
    <w:rsid w:val="00BA712A"/>
    <w:rsid w:val="00C80030"/>
    <w:rsid w:val="00C839B7"/>
    <w:rsid w:val="00D1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F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05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151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1ED"/>
  </w:style>
  <w:style w:type="paragraph" w:styleId="Piedepgina">
    <w:name w:val="footer"/>
    <w:basedOn w:val="Normal"/>
    <w:link w:val="PiedepginaCar"/>
    <w:uiPriority w:val="99"/>
    <w:unhideWhenUsed/>
    <w:rsid w:val="004151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1ED"/>
  </w:style>
  <w:style w:type="paragraph" w:styleId="Textodeglobo">
    <w:name w:val="Balloon Text"/>
    <w:basedOn w:val="Normal"/>
    <w:link w:val="TextodegloboCar"/>
    <w:uiPriority w:val="99"/>
    <w:semiHidden/>
    <w:unhideWhenUsed/>
    <w:rsid w:val="00415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1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6E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10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peracion@agujama.org" TargetMode="External"/><Relationship Id="rId1" Type="http://schemas.openxmlformats.org/officeDocument/2006/relationships/hyperlink" Target="mailto:leader@aguja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ana2</dc:creator>
  <cp:lastModifiedBy>ana2</cp:lastModifiedBy>
  <cp:revision>2</cp:revision>
  <dcterms:created xsi:type="dcterms:W3CDTF">2016-11-23T13:25:00Z</dcterms:created>
  <dcterms:modified xsi:type="dcterms:W3CDTF">2016-11-23T13:25:00Z</dcterms:modified>
</cp:coreProperties>
</file>